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E3B" w:rsidRPr="00C37BAA" w:rsidRDefault="00FE3E3B" w:rsidP="00FE3E3B">
      <w:pPr>
        <w:rPr>
          <w:rFonts w:ascii="Arial Black" w:hAnsi="Arial Black"/>
          <w:b/>
          <w:color w:val="FF0000"/>
          <w:sz w:val="24"/>
        </w:rPr>
      </w:pPr>
      <w:r w:rsidRPr="00C37BAA">
        <w:rPr>
          <w:rFonts w:ascii="Arial Black" w:hAnsi="Arial Black"/>
          <w:b/>
          <w:color w:val="FF0000"/>
          <w:sz w:val="24"/>
        </w:rPr>
        <w:t>Vänsterpartiet Värmland</w:t>
      </w:r>
    </w:p>
    <w:p w:rsidR="00FE3E3B" w:rsidRPr="00C37BAA" w:rsidRDefault="00FE3E3B" w:rsidP="00FE3E3B">
      <w:pPr>
        <w:rPr>
          <w:rFonts w:ascii="Arial Black" w:hAnsi="Arial Black"/>
          <w:color w:val="FF0000"/>
          <w:sz w:val="24"/>
        </w:rPr>
      </w:pPr>
    </w:p>
    <w:p w:rsidR="00FE3E3B" w:rsidRDefault="00FE3E3B" w:rsidP="00FE3E3B">
      <w:pPr>
        <w:pStyle w:val="Brdtext"/>
      </w:pPr>
      <w:r w:rsidRPr="00C37BAA">
        <w:rPr>
          <w:rFonts w:ascii="Arial Black" w:hAnsi="Arial Black"/>
          <w:color w:val="FF0000"/>
        </w:rPr>
        <w:t>Budget för 2013</w:t>
      </w:r>
      <w:r>
        <w:tab/>
      </w:r>
      <w:r>
        <w:tab/>
      </w:r>
      <w:r>
        <w:tab/>
      </w:r>
    </w:p>
    <w:p w:rsidR="00FE3E3B" w:rsidRDefault="00FE3E3B" w:rsidP="00FE3E3B">
      <w:pPr>
        <w:rPr>
          <w:sz w:val="24"/>
        </w:rPr>
      </w:pPr>
    </w:p>
    <w:p w:rsidR="00FE3E3B" w:rsidRDefault="00FE3E3B" w:rsidP="00FE3E3B">
      <w:pPr>
        <w:rPr>
          <w:sz w:val="24"/>
        </w:rPr>
      </w:pPr>
    </w:p>
    <w:p w:rsidR="00FE3E3B" w:rsidRDefault="00FE3E3B" w:rsidP="00FE3E3B">
      <w:pPr>
        <w:rPr>
          <w:sz w:val="24"/>
          <w:u w:val="single"/>
        </w:rPr>
      </w:pPr>
      <w:r>
        <w:rPr>
          <w:sz w:val="24"/>
          <w:u w:val="single"/>
        </w:rPr>
        <w:t>Intäkter</w:t>
      </w:r>
    </w:p>
    <w:p w:rsidR="00FE3E3B" w:rsidRDefault="00FE3E3B" w:rsidP="00FE3E3B">
      <w:pPr>
        <w:pStyle w:val="Rubrik1"/>
        <w:tabs>
          <w:tab w:val="right" w:pos="4678"/>
        </w:tabs>
      </w:pPr>
      <w:proofErr w:type="gramStart"/>
      <w:r>
        <w:t>Landstingsbidrag</w:t>
      </w:r>
      <w:proofErr w:type="gramEnd"/>
      <w:r>
        <w:tab/>
        <w:t>490 000</w:t>
      </w:r>
      <w:r>
        <w:tab/>
      </w:r>
    </w:p>
    <w:p w:rsidR="00FE3E3B" w:rsidRDefault="00C37BAA" w:rsidP="00FE3E3B">
      <w:pPr>
        <w:pStyle w:val="Rubrik1"/>
        <w:tabs>
          <w:tab w:val="right" w:pos="4678"/>
        </w:tabs>
      </w:pPr>
      <w:r>
        <w:t>”P</w:t>
      </w:r>
      <w:r w:rsidR="00CF71CE">
        <w:t>artistöd</w:t>
      </w:r>
      <w:r>
        <w:t>”</w:t>
      </w:r>
      <w:r w:rsidR="00CF71CE">
        <w:tab/>
      </w:r>
      <w:r w:rsidR="00C5342D">
        <w:t>33</w:t>
      </w:r>
      <w:r>
        <w:t xml:space="preserve"> 900</w:t>
      </w:r>
      <w:r w:rsidR="00FE3E3B">
        <w:tab/>
      </w:r>
      <w:r w:rsidR="00FE3E3B">
        <w:tab/>
      </w:r>
    </w:p>
    <w:p w:rsidR="00FE3E3B" w:rsidRDefault="00FE3E3B" w:rsidP="00FE3E3B">
      <w:pPr>
        <w:pStyle w:val="Rubrik1"/>
        <w:tabs>
          <w:tab w:val="right" w:pos="4678"/>
        </w:tabs>
      </w:pPr>
      <w:r>
        <w:t>Räntor</w:t>
      </w:r>
      <w:r>
        <w:tab/>
        <w:t>6 000</w:t>
      </w:r>
      <w:r>
        <w:tab/>
      </w:r>
      <w:r>
        <w:tab/>
      </w:r>
    </w:p>
    <w:p w:rsidR="00FE3E3B" w:rsidRDefault="00FE3E3B" w:rsidP="00FE3E3B">
      <w:pPr>
        <w:tabs>
          <w:tab w:val="right" w:pos="4678"/>
          <w:tab w:val="right" w:pos="7230"/>
        </w:tabs>
        <w:rPr>
          <w:sz w:val="24"/>
          <w:u w:val="single"/>
        </w:rPr>
      </w:pPr>
      <w:r>
        <w:rPr>
          <w:sz w:val="24"/>
        </w:rPr>
        <w:t>Medlemsavgifter</w:t>
      </w:r>
      <w:r>
        <w:rPr>
          <w:sz w:val="24"/>
        </w:rPr>
        <w:tab/>
      </w:r>
      <w:r>
        <w:rPr>
          <w:sz w:val="24"/>
          <w:u w:val="single"/>
        </w:rPr>
        <w:t xml:space="preserve">  18 000</w:t>
      </w:r>
      <w:r>
        <w:rPr>
          <w:sz w:val="24"/>
        </w:rPr>
        <w:tab/>
      </w:r>
    </w:p>
    <w:p w:rsidR="00FE3E3B" w:rsidRDefault="006E0FED" w:rsidP="00CF71CE">
      <w:pPr>
        <w:tabs>
          <w:tab w:val="right" w:pos="7230"/>
        </w:tabs>
        <w:ind w:left="2608" w:firstLine="1304"/>
        <w:rPr>
          <w:sz w:val="24"/>
        </w:rPr>
      </w:pPr>
      <w:r>
        <w:rPr>
          <w:sz w:val="24"/>
        </w:rPr>
        <w:t>548 000</w:t>
      </w:r>
      <w:r w:rsidR="00FE3E3B">
        <w:rPr>
          <w:sz w:val="24"/>
        </w:rPr>
        <w:tab/>
      </w:r>
    </w:p>
    <w:p w:rsidR="00FE3E3B" w:rsidRDefault="00FE3E3B" w:rsidP="00FE3E3B">
      <w:pPr>
        <w:rPr>
          <w:sz w:val="24"/>
        </w:rPr>
      </w:pPr>
    </w:p>
    <w:p w:rsidR="00FE3E3B" w:rsidRDefault="00FE3E3B" w:rsidP="00FE3E3B">
      <w:pPr>
        <w:rPr>
          <w:sz w:val="24"/>
          <w:u w:val="single"/>
        </w:rPr>
      </w:pPr>
      <w:r>
        <w:rPr>
          <w:sz w:val="24"/>
          <w:u w:val="single"/>
        </w:rPr>
        <w:t>Kostnader</w:t>
      </w:r>
    </w:p>
    <w:p w:rsidR="00FE3E3B" w:rsidRDefault="00FE3E3B" w:rsidP="00FE3E3B">
      <w:pPr>
        <w:rPr>
          <w:sz w:val="24"/>
        </w:rPr>
      </w:pPr>
    </w:p>
    <w:p w:rsidR="00FE3E3B" w:rsidRPr="00501948" w:rsidRDefault="00FE3E3B" w:rsidP="00FE3E3B">
      <w:pPr>
        <w:pStyle w:val="Rubrik1"/>
        <w:tabs>
          <w:tab w:val="right" w:pos="4678"/>
        </w:tabs>
        <w:rPr>
          <w:szCs w:val="24"/>
        </w:rPr>
      </w:pPr>
      <w:r w:rsidRPr="00FE3E3B">
        <w:rPr>
          <w:szCs w:val="24"/>
        </w:rPr>
        <w:t xml:space="preserve">Pensionsavgång </w:t>
      </w:r>
      <w:proofErr w:type="spellStart"/>
      <w:r w:rsidRPr="00FE3E3B">
        <w:rPr>
          <w:szCs w:val="24"/>
        </w:rPr>
        <w:t>exp</w:t>
      </w:r>
      <w:proofErr w:type="spellEnd"/>
      <w:r w:rsidRPr="00FE3E3B">
        <w:rPr>
          <w:szCs w:val="24"/>
        </w:rPr>
        <w:tab/>
      </w:r>
      <w:r>
        <w:rPr>
          <w:szCs w:val="24"/>
        </w:rPr>
        <w:t xml:space="preserve">     </w:t>
      </w:r>
      <w:r w:rsidRPr="00501948">
        <w:rPr>
          <w:szCs w:val="24"/>
        </w:rPr>
        <w:t>195 000</w:t>
      </w:r>
      <w:r w:rsidRPr="00501948">
        <w:rPr>
          <w:rStyle w:val="Fotnotsreferens"/>
          <w:szCs w:val="24"/>
        </w:rPr>
        <w:footnoteReference w:id="1"/>
      </w:r>
      <w:r w:rsidRPr="00501948">
        <w:rPr>
          <w:szCs w:val="24"/>
        </w:rPr>
        <w:tab/>
      </w:r>
    </w:p>
    <w:p w:rsidR="00FE3E3B" w:rsidRPr="00501948" w:rsidRDefault="00FE3E3B" w:rsidP="00FE3E3B">
      <w:pPr>
        <w:rPr>
          <w:sz w:val="24"/>
          <w:szCs w:val="24"/>
        </w:rPr>
      </w:pPr>
      <w:r w:rsidRPr="00501948">
        <w:rPr>
          <w:sz w:val="24"/>
          <w:szCs w:val="24"/>
        </w:rPr>
        <w:t xml:space="preserve">Nyanställning </w:t>
      </w:r>
      <w:proofErr w:type="spellStart"/>
      <w:r w:rsidRPr="00501948">
        <w:rPr>
          <w:sz w:val="24"/>
          <w:szCs w:val="24"/>
        </w:rPr>
        <w:t>exp</w:t>
      </w:r>
      <w:proofErr w:type="spellEnd"/>
      <w:r w:rsidRPr="00501948">
        <w:rPr>
          <w:sz w:val="24"/>
          <w:szCs w:val="24"/>
        </w:rPr>
        <w:tab/>
      </w:r>
      <w:r w:rsidRPr="00501948">
        <w:rPr>
          <w:sz w:val="24"/>
          <w:szCs w:val="24"/>
        </w:rPr>
        <w:tab/>
        <w:t>204 750</w:t>
      </w:r>
      <w:r w:rsidRPr="00501948">
        <w:rPr>
          <w:rStyle w:val="Fotnotsreferens"/>
          <w:sz w:val="24"/>
          <w:szCs w:val="24"/>
        </w:rPr>
        <w:footnoteReference w:id="2"/>
      </w:r>
    </w:p>
    <w:p w:rsidR="00FE3E3B" w:rsidRPr="00501948" w:rsidRDefault="00FE3E3B" w:rsidP="00FE3E3B">
      <w:pPr>
        <w:pStyle w:val="Rubrik1"/>
        <w:tabs>
          <w:tab w:val="clear" w:pos="7230"/>
          <w:tab w:val="right" w:pos="4678"/>
          <w:tab w:val="right" w:pos="7088"/>
        </w:tabs>
      </w:pPr>
      <w:r w:rsidRPr="00501948">
        <w:t>Städkostnad</w:t>
      </w:r>
      <w:r w:rsidRPr="00501948">
        <w:tab/>
        <w:t>12 000</w:t>
      </w:r>
    </w:p>
    <w:p w:rsidR="00FE3E3B" w:rsidRPr="00501948" w:rsidRDefault="00FE3E3B" w:rsidP="00FE3E3B">
      <w:pPr>
        <w:pStyle w:val="Rubrik1"/>
        <w:tabs>
          <w:tab w:val="right" w:pos="4678"/>
        </w:tabs>
      </w:pPr>
      <w:r w:rsidRPr="00501948">
        <w:t>Övriga ersättningar</w:t>
      </w:r>
      <w:r w:rsidRPr="00501948">
        <w:tab/>
        <w:t xml:space="preserve">15 000  </w:t>
      </w:r>
      <w:r w:rsidRPr="00501948">
        <w:tab/>
        <w:t xml:space="preserve">    </w:t>
      </w:r>
    </w:p>
    <w:p w:rsidR="00FE3E3B" w:rsidRPr="00501948" w:rsidRDefault="00FE3E3B" w:rsidP="00FE3E3B">
      <w:pPr>
        <w:rPr>
          <w:sz w:val="24"/>
        </w:rPr>
      </w:pPr>
      <w:r w:rsidRPr="00501948">
        <w:rPr>
          <w:sz w:val="24"/>
        </w:rPr>
        <w:t>Resekostnader</w:t>
      </w:r>
      <w:r w:rsidRPr="00501948">
        <w:rPr>
          <w:sz w:val="24"/>
        </w:rPr>
        <w:tab/>
      </w:r>
      <w:r w:rsidRPr="00501948">
        <w:rPr>
          <w:sz w:val="24"/>
        </w:rPr>
        <w:tab/>
        <w:t xml:space="preserve">  20 000</w:t>
      </w:r>
      <w:r w:rsidRPr="00501948">
        <w:rPr>
          <w:sz w:val="24"/>
        </w:rPr>
        <w:tab/>
      </w:r>
      <w:r w:rsidRPr="00501948">
        <w:rPr>
          <w:sz w:val="24"/>
        </w:rPr>
        <w:tab/>
      </w:r>
    </w:p>
    <w:p w:rsidR="00FE3E3B" w:rsidRPr="00501948" w:rsidRDefault="00FE3E3B" w:rsidP="00FE3E3B">
      <w:pPr>
        <w:rPr>
          <w:sz w:val="24"/>
        </w:rPr>
      </w:pPr>
      <w:r w:rsidRPr="00501948">
        <w:rPr>
          <w:sz w:val="24"/>
        </w:rPr>
        <w:t>Lokalkostnader</w:t>
      </w:r>
      <w:r w:rsidRPr="00501948">
        <w:rPr>
          <w:sz w:val="24"/>
        </w:rPr>
        <w:tab/>
      </w:r>
      <w:r w:rsidRPr="00501948">
        <w:rPr>
          <w:sz w:val="24"/>
        </w:rPr>
        <w:tab/>
        <w:t xml:space="preserve">  </w:t>
      </w:r>
      <w:r w:rsidR="00354CD4" w:rsidRPr="00501948">
        <w:rPr>
          <w:sz w:val="24"/>
        </w:rPr>
        <w:t>59 000</w:t>
      </w:r>
      <w:r w:rsidRPr="00501948">
        <w:rPr>
          <w:sz w:val="24"/>
        </w:rPr>
        <w:tab/>
      </w:r>
      <w:r w:rsidRPr="00501948">
        <w:rPr>
          <w:sz w:val="24"/>
        </w:rPr>
        <w:tab/>
      </w:r>
    </w:p>
    <w:p w:rsidR="00FE3E3B" w:rsidRPr="00501948" w:rsidRDefault="00FE3E3B" w:rsidP="00FE3E3B">
      <w:pPr>
        <w:rPr>
          <w:sz w:val="24"/>
        </w:rPr>
      </w:pPr>
      <w:r w:rsidRPr="00501948">
        <w:rPr>
          <w:sz w:val="24"/>
        </w:rPr>
        <w:t>Porto</w:t>
      </w:r>
      <w:r w:rsidRPr="00501948">
        <w:rPr>
          <w:sz w:val="24"/>
        </w:rPr>
        <w:tab/>
      </w:r>
      <w:r w:rsidRPr="00501948">
        <w:rPr>
          <w:sz w:val="24"/>
        </w:rPr>
        <w:tab/>
      </w:r>
      <w:r w:rsidRPr="00501948">
        <w:rPr>
          <w:sz w:val="24"/>
        </w:rPr>
        <w:tab/>
        <w:t xml:space="preserve">  12000</w:t>
      </w:r>
      <w:r w:rsidRPr="00501948">
        <w:rPr>
          <w:sz w:val="24"/>
        </w:rPr>
        <w:tab/>
      </w:r>
      <w:r w:rsidRPr="00501948">
        <w:rPr>
          <w:sz w:val="24"/>
        </w:rPr>
        <w:tab/>
      </w:r>
    </w:p>
    <w:p w:rsidR="00FE3E3B" w:rsidRDefault="00FE3E3B" w:rsidP="00FE3E3B">
      <w:pPr>
        <w:rPr>
          <w:sz w:val="24"/>
        </w:rPr>
      </w:pPr>
      <w:r w:rsidRPr="00501948">
        <w:rPr>
          <w:sz w:val="24"/>
        </w:rPr>
        <w:t>Övrig administration</w:t>
      </w:r>
      <w:r w:rsidRPr="00501948">
        <w:rPr>
          <w:sz w:val="24"/>
        </w:rPr>
        <w:tab/>
      </w:r>
      <w:r w:rsidRPr="00501948">
        <w:rPr>
          <w:sz w:val="24"/>
        </w:rPr>
        <w:tab/>
        <w:t xml:space="preserve">  18 000</w:t>
      </w:r>
      <w:r>
        <w:rPr>
          <w:sz w:val="24"/>
        </w:rPr>
        <w:tab/>
      </w:r>
      <w:r>
        <w:rPr>
          <w:sz w:val="24"/>
        </w:rPr>
        <w:tab/>
      </w:r>
    </w:p>
    <w:p w:rsidR="00FE3E3B" w:rsidRDefault="00FE3E3B" w:rsidP="00FE3E3B">
      <w:pPr>
        <w:rPr>
          <w:sz w:val="24"/>
        </w:rPr>
      </w:pPr>
      <w:r>
        <w:rPr>
          <w:sz w:val="24"/>
        </w:rPr>
        <w:t>Material, tryck</w:t>
      </w:r>
      <w:r>
        <w:rPr>
          <w:sz w:val="24"/>
        </w:rPr>
        <w:tab/>
      </w:r>
      <w:r>
        <w:rPr>
          <w:sz w:val="24"/>
        </w:rPr>
        <w:tab/>
        <w:t xml:space="preserve">  20 000</w:t>
      </w:r>
      <w:r>
        <w:rPr>
          <w:sz w:val="24"/>
        </w:rPr>
        <w:tab/>
      </w:r>
      <w:r>
        <w:rPr>
          <w:sz w:val="24"/>
        </w:rPr>
        <w:tab/>
      </w:r>
    </w:p>
    <w:p w:rsidR="00FE3E3B" w:rsidRDefault="00FE3E3B" w:rsidP="00FE3E3B">
      <w:pPr>
        <w:rPr>
          <w:sz w:val="24"/>
        </w:rPr>
      </w:pPr>
      <w:proofErr w:type="spellStart"/>
      <w:r>
        <w:rPr>
          <w:sz w:val="24"/>
        </w:rPr>
        <w:t>Studier/</w:t>
      </w:r>
      <w:proofErr w:type="gramStart"/>
      <w:r>
        <w:rPr>
          <w:sz w:val="24"/>
        </w:rPr>
        <w:t>konf,arrangemang</w:t>
      </w:r>
      <w:proofErr w:type="spellEnd"/>
      <w:proofErr w:type="gramEnd"/>
      <w:r>
        <w:rPr>
          <w:sz w:val="24"/>
        </w:rPr>
        <w:tab/>
      </w:r>
      <w:r>
        <w:rPr>
          <w:sz w:val="24"/>
        </w:rPr>
        <w:tab/>
        <w:t xml:space="preserve">  60 000</w:t>
      </w:r>
      <w:r>
        <w:rPr>
          <w:sz w:val="24"/>
        </w:rPr>
        <w:tab/>
      </w:r>
      <w:r>
        <w:rPr>
          <w:sz w:val="24"/>
        </w:rPr>
        <w:tab/>
      </w:r>
    </w:p>
    <w:p w:rsidR="00FE3E3B" w:rsidRDefault="00FE3E3B" w:rsidP="00FE3E3B">
      <w:pPr>
        <w:rPr>
          <w:sz w:val="24"/>
        </w:rPr>
      </w:pPr>
      <w:r>
        <w:rPr>
          <w:sz w:val="24"/>
        </w:rPr>
        <w:t>Årskonferens</w:t>
      </w:r>
      <w:r>
        <w:rPr>
          <w:sz w:val="24"/>
        </w:rPr>
        <w:tab/>
      </w:r>
      <w:r>
        <w:rPr>
          <w:sz w:val="24"/>
        </w:rPr>
        <w:tab/>
      </w:r>
      <w:r>
        <w:rPr>
          <w:sz w:val="24"/>
        </w:rPr>
        <w:tab/>
        <w:t xml:space="preserve">  20 000</w:t>
      </w:r>
      <w:r>
        <w:rPr>
          <w:sz w:val="24"/>
        </w:rPr>
        <w:tab/>
      </w:r>
      <w:r>
        <w:rPr>
          <w:sz w:val="24"/>
        </w:rPr>
        <w:tab/>
      </w:r>
    </w:p>
    <w:p w:rsidR="00FE3E3B" w:rsidRDefault="00FE3E3B" w:rsidP="00FE3E3B">
      <w:pPr>
        <w:rPr>
          <w:sz w:val="24"/>
        </w:rPr>
      </w:pPr>
      <w:r>
        <w:rPr>
          <w:sz w:val="24"/>
        </w:rPr>
        <w:t>Valkonferens</w:t>
      </w:r>
      <w:r>
        <w:rPr>
          <w:sz w:val="24"/>
        </w:rPr>
        <w:tab/>
      </w:r>
      <w:r>
        <w:rPr>
          <w:sz w:val="24"/>
        </w:rPr>
        <w:tab/>
      </w:r>
      <w:r>
        <w:rPr>
          <w:sz w:val="24"/>
        </w:rPr>
        <w:tab/>
        <w:t>20 000</w:t>
      </w:r>
      <w:r>
        <w:rPr>
          <w:sz w:val="24"/>
        </w:rPr>
        <w:tab/>
      </w:r>
    </w:p>
    <w:p w:rsidR="00FE3E3B" w:rsidRDefault="00FE3E3B" w:rsidP="00FE3E3B">
      <w:pPr>
        <w:rPr>
          <w:sz w:val="24"/>
        </w:rPr>
      </w:pPr>
      <w:r>
        <w:rPr>
          <w:sz w:val="24"/>
        </w:rPr>
        <w:t>Partikansli/PS</w:t>
      </w:r>
      <w:r>
        <w:rPr>
          <w:sz w:val="24"/>
        </w:rPr>
        <w:tab/>
      </w:r>
      <w:r>
        <w:rPr>
          <w:sz w:val="24"/>
        </w:rPr>
        <w:tab/>
        <w:t xml:space="preserve">  20 000</w:t>
      </w:r>
      <w:r>
        <w:rPr>
          <w:sz w:val="24"/>
        </w:rPr>
        <w:tab/>
      </w:r>
      <w:r>
        <w:rPr>
          <w:sz w:val="24"/>
        </w:rPr>
        <w:tab/>
      </w:r>
    </w:p>
    <w:p w:rsidR="00354CD4" w:rsidRDefault="00FE3E3B" w:rsidP="00FE3E3B">
      <w:pPr>
        <w:rPr>
          <w:sz w:val="24"/>
        </w:rPr>
      </w:pPr>
      <w:r>
        <w:rPr>
          <w:sz w:val="24"/>
        </w:rPr>
        <w:t>Ung Vänster</w:t>
      </w:r>
      <w:r>
        <w:rPr>
          <w:sz w:val="24"/>
        </w:rPr>
        <w:tab/>
      </w:r>
      <w:r>
        <w:rPr>
          <w:sz w:val="24"/>
        </w:rPr>
        <w:tab/>
      </w:r>
      <w:r>
        <w:rPr>
          <w:sz w:val="24"/>
        </w:rPr>
        <w:tab/>
        <w:t xml:space="preserve">  </w:t>
      </w:r>
      <w:r w:rsidR="0078450A">
        <w:rPr>
          <w:sz w:val="24"/>
        </w:rPr>
        <w:t>49 000</w:t>
      </w:r>
      <w:r w:rsidR="00354CD4">
        <w:rPr>
          <w:rStyle w:val="Fotnotsreferens"/>
          <w:sz w:val="24"/>
        </w:rPr>
        <w:footnoteReference w:id="3"/>
      </w:r>
    </w:p>
    <w:p w:rsidR="00FE3E3B" w:rsidRDefault="00354CD4" w:rsidP="00FE3E3B">
      <w:pPr>
        <w:rPr>
          <w:sz w:val="24"/>
        </w:rPr>
      </w:pPr>
      <w:r>
        <w:rPr>
          <w:sz w:val="24"/>
        </w:rPr>
        <w:t>VSF</w:t>
      </w:r>
      <w:r>
        <w:rPr>
          <w:sz w:val="24"/>
        </w:rPr>
        <w:tab/>
      </w:r>
      <w:r>
        <w:rPr>
          <w:sz w:val="24"/>
        </w:rPr>
        <w:tab/>
      </w:r>
      <w:r>
        <w:rPr>
          <w:sz w:val="24"/>
        </w:rPr>
        <w:tab/>
      </w:r>
      <w:r w:rsidR="0033602B">
        <w:rPr>
          <w:sz w:val="24"/>
        </w:rPr>
        <w:t xml:space="preserve">    4900</w:t>
      </w:r>
      <w:r w:rsidR="0033602B">
        <w:rPr>
          <w:rStyle w:val="Fotnotsreferens"/>
          <w:sz w:val="24"/>
        </w:rPr>
        <w:footnoteReference w:id="4"/>
      </w:r>
      <w:r w:rsidR="00FE3E3B">
        <w:rPr>
          <w:sz w:val="24"/>
        </w:rPr>
        <w:tab/>
      </w:r>
      <w:r w:rsidR="00FE3E3B">
        <w:rPr>
          <w:sz w:val="24"/>
        </w:rPr>
        <w:tab/>
      </w:r>
    </w:p>
    <w:p w:rsidR="00FE3E3B" w:rsidRDefault="00FE3E3B" w:rsidP="00FE3E3B">
      <w:pPr>
        <w:rPr>
          <w:sz w:val="24"/>
        </w:rPr>
      </w:pPr>
      <w:r>
        <w:rPr>
          <w:sz w:val="24"/>
        </w:rPr>
        <w:t>DS</w:t>
      </w:r>
      <w:r>
        <w:rPr>
          <w:sz w:val="24"/>
        </w:rPr>
        <w:tab/>
      </w:r>
      <w:r>
        <w:rPr>
          <w:sz w:val="24"/>
        </w:rPr>
        <w:tab/>
      </w:r>
      <w:r>
        <w:rPr>
          <w:sz w:val="24"/>
        </w:rPr>
        <w:tab/>
        <w:t xml:space="preserve">    3 000</w:t>
      </w:r>
      <w:r>
        <w:rPr>
          <w:sz w:val="24"/>
        </w:rPr>
        <w:tab/>
      </w:r>
      <w:r>
        <w:rPr>
          <w:sz w:val="24"/>
        </w:rPr>
        <w:tab/>
      </w:r>
    </w:p>
    <w:p w:rsidR="00FE3E3B" w:rsidRDefault="00FE3E3B" w:rsidP="00FE3E3B">
      <w:pPr>
        <w:rPr>
          <w:sz w:val="24"/>
        </w:rPr>
      </w:pPr>
      <w:r>
        <w:rPr>
          <w:sz w:val="24"/>
        </w:rPr>
        <w:t>Försäkring</w:t>
      </w:r>
      <w:r>
        <w:rPr>
          <w:sz w:val="24"/>
        </w:rPr>
        <w:tab/>
      </w:r>
      <w:r>
        <w:rPr>
          <w:sz w:val="24"/>
        </w:rPr>
        <w:tab/>
      </w:r>
      <w:r>
        <w:rPr>
          <w:sz w:val="24"/>
        </w:rPr>
        <w:tab/>
        <w:t xml:space="preserve">  12 000</w:t>
      </w:r>
      <w:r>
        <w:rPr>
          <w:sz w:val="24"/>
        </w:rPr>
        <w:tab/>
      </w:r>
      <w:r>
        <w:rPr>
          <w:sz w:val="24"/>
        </w:rPr>
        <w:tab/>
      </w:r>
    </w:p>
    <w:p w:rsidR="00C37BAA" w:rsidRDefault="00FE3E3B" w:rsidP="00FE3E3B">
      <w:pPr>
        <w:rPr>
          <w:sz w:val="24"/>
          <w:u w:val="single"/>
        </w:rPr>
      </w:pPr>
      <w:r>
        <w:rPr>
          <w:sz w:val="24"/>
        </w:rPr>
        <w:t>Övriga kostnader</w:t>
      </w:r>
      <w:r>
        <w:rPr>
          <w:sz w:val="24"/>
        </w:rPr>
        <w:tab/>
      </w:r>
      <w:r>
        <w:rPr>
          <w:sz w:val="24"/>
        </w:rPr>
        <w:tab/>
      </w:r>
      <w:r>
        <w:rPr>
          <w:sz w:val="24"/>
          <w:u w:val="single"/>
        </w:rPr>
        <w:t xml:space="preserve">  20</w:t>
      </w:r>
      <w:r w:rsidR="00C37BAA">
        <w:rPr>
          <w:sz w:val="24"/>
          <w:u w:val="single"/>
        </w:rPr>
        <w:t> </w:t>
      </w:r>
      <w:r>
        <w:rPr>
          <w:sz w:val="24"/>
          <w:u w:val="single"/>
        </w:rPr>
        <w:t>000</w:t>
      </w:r>
    </w:p>
    <w:p w:rsidR="00C37BAA" w:rsidRDefault="00C37BAA" w:rsidP="00FE3E3B">
      <w:pPr>
        <w:rPr>
          <w:sz w:val="24"/>
          <w:u w:val="single"/>
        </w:rPr>
      </w:pPr>
    </w:p>
    <w:p w:rsidR="00FE3E3B" w:rsidRDefault="00C37BAA" w:rsidP="00FE3E3B">
      <w:pPr>
        <w:rPr>
          <w:sz w:val="24"/>
        </w:rPr>
      </w:pPr>
      <w:r>
        <w:rPr>
          <w:sz w:val="24"/>
          <w:u w:val="single"/>
        </w:rPr>
        <w:t>TOTALT:</w:t>
      </w:r>
      <w:r>
        <w:rPr>
          <w:sz w:val="24"/>
        </w:rPr>
        <w:tab/>
      </w:r>
      <w:r>
        <w:rPr>
          <w:sz w:val="24"/>
        </w:rPr>
        <w:tab/>
      </w:r>
      <w:r>
        <w:rPr>
          <w:sz w:val="24"/>
        </w:rPr>
        <w:tab/>
      </w:r>
      <w:r w:rsidR="00C5342D">
        <w:rPr>
          <w:sz w:val="24"/>
        </w:rPr>
        <w:t>764</w:t>
      </w:r>
      <w:r w:rsidR="006E0FED">
        <w:rPr>
          <w:sz w:val="24"/>
        </w:rPr>
        <w:t> 650</w:t>
      </w:r>
    </w:p>
    <w:p w:rsidR="006E0FED" w:rsidRDefault="006E0FED" w:rsidP="00FE3E3B">
      <w:pPr>
        <w:rPr>
          <w:sz w:val="24"/>
          <w:u w:val="single"/>
        </w:rPr>
      </w:pPr>
    </w:p>
    <w:p w:rsidR="00FE3E3B" w:rsidRDefault="00FE3E3B" w:rsidP="00FE3E3B">
      <w:pPr>
        <w:rPr>
          <w:sz w:val="24"/>
        </w:rPr>
      </w:pPr>
      <w:r>
        <w:rPr>
          <w:sz w:val="24"/>
        </w:rPr>
        <w:tab/>
      </w:r>
      <w:r>
        <w:rPr>
          <w:sz w:val="24"/>
        </w:rPr>
        <w:tab/>
      </w:r>
      <w:r>
        <w:rPr>
          <w:sz w:val="24"/>
        </w:rPr>
        <w:tab/>
      </w:r>
      <w:r w:rsidR="006E0FED">
        <w:rPr>
          <w:sz w:val="24"/>
        </w:rPr>
        <w:t>548 000</w:t>
      </w:r>
      <w:r>
        <w:rPr>
          <w:sz w:val="24"/>
        </w:rPr>
        <w:tab/>
      </w:r>
    </w:p>
    <w:p w:rsidR="00354CD4" w:rsidRDefault="00FE3E3B" w:rsidP="00FE3E3B">
      <w:pPr>
        <w:rPr>
          <w:sz w:val="24"/>
        </w:rPr>
      </w:pPr>
      <w:r>
        <w:rPr>
          <w:sz w:val="24"/>
        </w:rPr>
        <w:t>Underskott</w:t>
      </w:r>
      <w:r>
        <w:rPr>
          <w:sz w:val="24"/>
        </w:rPr>
        <w:tab/>
      </w:r>
      <w:r>
        <w:rPr>
          <w:sz w:val="24"/>
        </w:rPr>
        <w:tab/>
      </w:r>
      <w:r>
        <w:rPr>
          <w:sz w:val="24"/>
        </w:rPr>
        <w:tab/>
      </w:r>
      <w:r w:rsidR="00C5342D">
        <w:rPr>
          <w:sz w:val="24"/>
          <w:u w:val="single"/>
        </w:rPr>
        <w:t xml:space="preserve">216 </w:t>
      </w:r>
      <w:r w:rsidR="00B95939">
        <w:rPr>
          <w:sz w:val="24"/>
          <w:u w:val="single"/>
        </w:rPr>
        <w:t>650</w:t>
      </w:r>
      <w:r w:rsidR="00B95939">
        <w:rPr>
          <w:rStyle w:val="Fotnotsreferens"/>
          <w:sz w:val="24"/>
          <w:u w:val="single"/>
        </w:rPr>
        <w:footnoteReference w:id="5"/>
      </w:r>
      <w:r>
        <w:rPr>
          <w:sz w:val="24"/>
        </w:rPr>
        <w:tab/>
        <w:t xml:space="preserve">                 </w:t>
      </w:r>
    </w:p>
    <w:p w:rsidR="00B95939" w:rsidRDefault="00FE3E3B" w:rsidP="00FE3E3B">
      <w:pPr>
        <w:rPr>
          <w:sz w:val="24"/>
        </w:rPr>
      </w:pPr>
      <w:r>
        <w:rPr>
          <w:sz w:val="24"/>
        </w:rPr>
        <w:tab/>
      </w:r>
      <w:r>
        <w:rPr>
          <w:sz w:val="24"/>
        </w:rPr>
        <w:tab/>
      </w:r>
      <w:r>
        <w:rPr>
          <w:sz w:val="24"/>
        </w:rPr>
        <w:tab/>
      </w:r>
    </w:p>
    <w:p w:rsidR="00B95939" w:rsidRDefault="00B95939" w:rsidP="00B95939">
      <w:pPr>
        <w:rPr>
          <w:sz w:val="24"/>
        </w:rPr>
      </w:pPr>
    </w:p>
    <w:p w:rsidR="00354CD4" w:rsidRDefault="00354CD4">
      <w:pPr>
        <w:rPr>
          <w:sz w:val="24"/>
        </w:rPr>
      </w:pPr>
    </w:p>
    <w:p w:rsidR="00D020E2" w:rsidRDefault="00D020E2">
      <w:pPr>
        <w:rPr>
          <w:sz w:val="24"/>
        </w:rPr>
      </w:pPr>
    </w:p>
    <w:p w:rsidR="00D020E2" w:rsidRDefault="0063554F">
      <w:pPr>
        <w:rPr>
          <w:sz w:val="24"/>
        </w:rPr>
      </w:pPr>
      <w:r>
        <w:rPr>
          <w:noProof/>
          <w:sz w:val="24"/>
        </w:rPr>
        <w:drawing>
          <wp:anchor distT="0" distB="0" distL="114300" distR="114300" simplePos="0" relativeHeight="251659264" behindDoc="1" locked="0" layoutInCell="1" allowOverlap="1">
            <wp:simplePos x="0" y="0"/>
            <wp:positionH relativeFrom="column">
              <wp:posOffset>4510405</wp:posOffset>
            </wp:positionH>
            <wp:positionV relativeFrom="paragraph">
              <wp:posOffset>-8287385</wp:posOffset>
            </wp:positionV>
            <wp:extent cx="1712595" cy="1709420"/>
            <wp:effectExtent l="19050" t="0" r="1905" b="0"/>
            <wp:wrapTight wrapText="bothSides">
              <wp:wrapPolygon edited="0">
                <wp:start x="-240" y="0"/>
                <wp:lineTo x="-240" y="21423"/>
                <wp:lineTo x="21624" y="21423"/>
                <wp:lineTo x="21624" y="0"/>
                <wp:lineTo x="-240" y="0"/>
              </wp:wrapPolygon>
            </wp:wrapTight>
            <wp:docPr id="3" name="Bildobjekt 0" descr="V-logga_CMYK_R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ogga_CMYK_Rod.jpg"/>
                    <pic:cNvPicPr/>
                  </pic:nvPicPr>
                  <pic:blipFill>
                    <a:blip r:embed="rId8" cstate="print"/>
                    <a:stretch>
                      <a:fillRect/>
                    </a:stretch>
                  </pic:blipFill>
                  <pic:spPr>
                    <a:xfrm>
                      <a:off x="0" y="0"/>
                      <a:ext cx="1712595" cy="1709420"/>
                    </a:xfrm>
                    <a:prstGeom prst="rect">
                      <a:avLst/>
                    </a:prstGeom>
                  </pic:spPr>
                </pic:pic>
              </a:graphicData>
            </a:graphic>
          </wp:anchor>
        </w:drawing>
      </w:r>
    </w:p>
    <w:p w:rsidR="00D020E2" w:rsidRDefault="00D020E2">
      <w:pPr>
        <w:rPr>
          <w:sz w:val="24"/>
        </w:rPr>
      </w:pPr>
    </w:p>
    <w:p w:rsidR="00D020E2" w:rsidRPr="00C37BAA" w:rsidRDefault="00D020E2">
      <w:pPr>
        <w:rPr>
          <w:rFonts w:ascii="Arial Black" w:hAnsi="Arial Black"/>
          <w:color w:val="FF0000"/>
          <w:sz w:val="24"/>
          <w:szCs w:val="24"/>
        </w:rPr>
      </w:pPr>
      <w:r w:rsidRPr="00C37BAA">
        <w:rPr>
          <w:rFonts w:ascii="Arial Black" w:hAnsi="Arial Black"/>
          <w:color w:val="FF0000"/>
          <w:sz w:val="24"/>
          <w:szCs w:val="24"/>
        </w:rPr>
        <w:t>Kommentarer till budgeten:</w:t>
      </w:r>
    </w:p>
    <w:p w:rsidR="00D020E2" w:rsidRDefault="00D020E2">
      <w:pPr>
        <w:rPr>
          <w:sz w:val="24"/>
          <w:szCs w:val="24"/>
        </w:rPr>
      </w:pPr>
    </w:p>
    <w:p w:rsidR="00D020E2" w:rsidRDefault="00D020E2">
      <w:pPr>
        <w:rPr>
          <w:sz w:val="24"/>
          <w:szCs w:val="24"/>
        </w:rPr>
      </w:pPr>
      <w:proofErr w:type="spellStart"/>
      <w:r>
        <w:rPr>
          <w:sz w:val="24"/>
          <w:szCs w:val="24"/>
        </w:rPr>
        <w:t>Distriksstyrelsen</w:t>
      </w:r>
      <w:proofErr w:type="spellEnd"/>
      <w:r>
        <w:rPr>
          <w:sz w:val="24"/>
          <w:szCs w:val="24"/>
        </w:rPr>
        <w:t xml:space="preserve"> har analyserat det ekonomiska läget inför valrörelsen 2014. Följande iakttagelser har gjorts:</w:t>
      </w:r>
    </w:p>
    <w:p w:rsidR="00D020E2" w:rsidRDefault="00D020E2">
      <w:pPr>
        <w:rPr>
          <w:sz w:val="24"/>
          <w:szCs w:val="24"/>
        </w:rPr>
      </w:pPr>
    </w:p>
    <w:p w:rsidR="00D020E2" w:rsidRDefault="00D020E2" w:rsidP="00D020E2">
      <w:pPr>
        <w:pStyle w:val="Liststycke"/>
        <w:numPr>
          <w:ilvl w:val="0"/>
          <w:numId w:val="2"/>
        </w:numPr>
        <w:rPr>
          <w:sz w:val="24"/>
          <w:szCs w:val="24"/>
        </w:rPr>
      </w:pPr>
      <w:r>
        <w:rPr>
          <w:sz w:val="24"/>
          <w:szCs w:val="24"/>
        </w:rPr>
        <w:t xml:space="preserve">Distriktets egna kapital uppgår till omkring 1 250 000, varav </w:t>
      </w:r>
      <w:proofErr w:type="gramStart"/>
      <w:r>
        <w:rPr>
          <w:sz w:val="24"/>
          <w:szCs w:val="24"/>
        </w:rPr>
        <w:t>550  000</w:t>
      </w:r>
      <w:proofErr w:type="gramEnd"/>
      <w:r>
        <w:rPr>
          <w:sz w:val="24"/>
          <w:szCs w:val="24"/>
        </w:rPr>
        <w:t xml:space="preserve"> är </w:t>
      </w:r>
      <w:proofErr w:type="spellStart"/>
      <w:r>
        <w:rPr>
          <w:sz w:val="24"/>
          <w:szCs w:val="24"/>
        </w:rPr>
        <w:t>öronmräkta</w:t>
      </w:r>
      <w:proofErr w:type="spellEnd"/>
      <w:r>
        <w:rPr>
          <w:sz w:val="24"/>
          <w:szCs w:val="24"/>
        </w:rPr>
        <w:t xml:space="preserve"> för valrörelsen, en </w:t>
      </w:r>
      <w:proofErr w:type="spellStart"/>
      <w:r>
        <w:rPr>
          <w:sz w:val="24"/>
          <w:szCs w:val="24"/>
        </w:rPr>
        <w:t>sk</w:t>
      </w:r>
      <w:proofErr w:type="spellEnd"/>
      <w:r>
        <w:rPr>
          <w:sz w:val="24"/>
          <w:szCs w:val="24"/>
        </w:rPr>
        <w:t xml:space="preserve"> ”valfond”</w:t>
      </w:r>
    </w:p>
    <w:p w:rsidR="00D020E2" w:rsidRDefault="00D020E2" w:rsidP="00D020E2">
      <w:pPr>
        <w:pStyle w:val="Liststycke"/>
        <w:numPr>
          <w:ilvl w:val="0"/>
          <w:numId w:val="2"/>
        </w:numPr>
        <w:rPr>
          <w:sz w:val="24"/>
          <w:szCs w:val="24"/>
        </w:rPr>
      </w:pPr>
      <w:r>
        <w:rPr>
          <w:sz w:val="24"/>
          <w:szCs w:val="24"/>
        </w:rPr>
        <w:t>Distriktsstyrelsen har sedan tidigare i uppdrag att minska sina kostnader, vilket är svårt inför ett valår.</w:t>
      </w:r>
    </w:p>
    <w:p w:rsidR="00D020E2" w:rsidRDefault="00D020E2" w:rsidP="00D020E2">
      <w:pPr>
        <w:pStyle w:val="Liststycke"/>
        <w:numPr>
          <w:ilvl w:val="0"/>
          <w:numId w:val="2"/>
        </w:numPr>
        <w:rPr>
          <w:sz w:val="24"/>
          <w:szCs w:val="24"/>
        </w:rPr>
      </w:pPr>
      <w:r>
        <w:rPr>
          <w:sz w:val="24"/>
          <w:szCs w:val="24"/>
        </w:rPr>
        <w:t xml:space="preserve">De personalförändringar som skett under verksamhetsåret 2012 får återverkningar även på 2013. Kostnader </w:t>
      </w:r>
      <w:r w:rsidR="00C37BAA">
        <w:rPr>
          <w:sz w:val="24"/>
          <w:szCs w:val="24"/>
        </w:rPr>
        <w:t>för pe</w:t>
      </w:r>
      <w:r>
        <w:rPr>
          <w:sz w:val="24"/>
          <w:szCs w:val="24"/>
        </w:rPr>
        <w:t>n</w:t>
      </w:r>
      <w:r w:rsidR="00C37BAA">
        <w:rPr>
          <w:sz w:val="24"/>
          <w:szCs w:val="24"/>
        </w:rPr>
        <w:t>s</w:t>
      </w:r>
      <w:r>
        <w:rPr>
          <w:sz w:val="24"/>
          <w:szCs w:val="24"/>
        </w:rPr>
        <w:t>ionsavgången försvinner till verksamhetsåret 2014.</w:t>
      </w:r>
    </w:p>
    <w:p w:rsidR="00D020E2" w:rsidRDefault="00D020E2" w:rsidP="00D020E2">
      <w:pPr>
        <w:pStyle w:val="Liststycke"/>
        <w:numPr>
          <w:ilvl w:val="0"/>
          <w:numId w:val="2"/>
        </w:numPr>
        <w:rPr>
          <w:sz w:val="24"/>
          <w:szCs w:val="24"/>
        </w:rPr>
      </w:pPr>
      <w:r>
        <w:rPr>
          <w:sz w:val="24"/>
          <w:szCs w:val="24"/>
        </w:rPr>
        <w:t>En nyanställning ökar kostnaderna drastiskt, men bör också ses som en nyckelfunktion i en fungerande valrörelse. I samverkan med partiföreningen i Karlstad verkar det också möjligt att under en längre period erbjuda en anställning som totalt omfattar 100 %, varav distriktet i så fall är huvudman för 75 %. Med största sannolikhet blir detta aktuellt först till hösten, men är budgeterat för sju månader för att ta höjd.</w:t>
      </w:r>
    </w:p>
    <w:p w:rsidR="00C37BAA" w:rsidRDefault="00C37BAA" w:rsidP="00C37BAA">
      <w:pPr>
        <w:pStyle w:val="Liststycke"/>
        <w:numPr>
          <w:ilvl w:val="0"/>
          <w:numId w:val="2"/>
        </w:numPr>
        <w:rPr>
          <w:sz w:val="24"/>
          <w:szCs w:val="24"/>
        </w:rPr>
      </w:pPr>
      <w:r>
        <w:rPr>
          <w:sz w:val="24"/>
          <w:szCs w:val="24"/>
        </w:rPr>
        <w:t xml:space="preserve">Enligt årskonferensen 2012 skulle distriktets kostnader för Ung Vänster över 20 000 kronor betalas av partiföreningarna, vilket inte har realiserats. Distriktsstyrelsen föreslår därför en liknande lösning i år, vilket också inbegriper VSF. Detta var i utbyte mot att distriktet inte längre tog in något kommunalt partistöd. Detta innebär inte att partiföreningarnas egna kongressbeslutade skyldigheter gentemot Ung Vänster och VSF är uppfyllda. </w:t>
      </w:r>
    </w:p>
    <w:p w:rsidR="00C37BAA" w:rsidRDefault="00C37BAA" w:rsidP="00C37BAA">
      <w:pPr>
        <w:pStyle w:val="Liststycke"/>
        <w:numPr>
          <w:ilvl w:val="0"/>
          <w:numId w:val="2"/>
        </w:numPr>
        <w:rPr>
          <w:sz w:val="24"/>
          <w:szCs w:val="24"/>
        </w:rPr>
      </w:pPr>
      <w:r>
        <w:rPr>
          <w:sz w:val="24"/>
          <w:szCs w:val="24"/>
        </w:rPr>
        <w:t xml:space="preserve">Distriktsstyrelsen har diskuterat det kommunala partistödet och dess funktion för distriktets ekonomi – det är tydligt att en fungerande valrörelse innebär en utmaning för både små och stora föreningar. För att distriktet ska kunna vara den stöttande funktion som förväntas så kommer detta åter att behöva ses över. Distriktet kan genom sin personal hjälpa partiföreningar med sådant som de själva har svår att mäkta med – men för att kunna göra det krävs att partiföreningarna bidrar till distriktets verksamhet också ekonomiskt. </w:t>
      </w:r>
    </w:p>
    <w:p w:rsidR="00893E9C" w:rsidRPr="00C37BAA" w:rsidRDefault="00893E9C" w:rsidP="00C37BAA">
      <w:pPr>
        <w:pStyle w:val="Liststycke"/>
        <w:numPr>
          <w:ilvl w:val="0"/>
          <w:numId w:val="2"/>
        </w:numPr>
        <w:rPr>
          <w:sz w:val="24"/>
          <w:szCs w:val="24"/>
        </w:rPr>
      </w:pPr>
      <w:r>
        <w:rPr>
          <w:sz w:val="24"/>
          <w:szCs w:val="24"/>
        </w:rPr>
        <w:t xml:space="preserve">Arrangemangsbudgeten </w:t>
      </w:r>
      <w:proofErr w:type="gramStart"/>
      <w:r>
        <w:rPr>
          <w:sz w:val="24"/>
          <w:szCs w:val="24"/>
        </w:rPr>
        <w:t>bibehålls</w:t>
      </w:r>
      <w:proofErr w:type="gramEnd"/>
      <w:r>
        <w:rPr>
          <w:sz w:val="24"/>
          <w:szCs w:val="24"/>
        </w:rPr>
        <w:t xml:space="preserve"> i sin storlek – också detta med hänvisning till den kommande valrörelsen och behovet av att ha möjlighet att genomföra arrangemang och studier i syfte att stärka distriktet inför valrörelsen, en budgetpost som annars hade minskats.</w:t>
      </w:r>
    </w:p>
    <w:p w:rsidR="00D020E2" w:rsidRPr="00D020E2" w:rsidRDefault="00D020E2" w:rsidP="00D020E2">
      <w:pPr>
        <w:rPr>
          <w:sz w:val="24"/>
          <w:szCs w:val="24"/>
        </w:rPr>
      </w:pPr>
    </w:p>
    <w:p w:rsidR="00354CD4" w:rsidRPr="00D020E2" w:rsidRDefault="00354CD4">
      <w:pPr>
        <w:rPr>
          <w:sz w:val="24"/>
          <w:szCs w:val="24"/>
        </w:rPr>
      </w:pPr>
      <w:r w:rsidRPr="00D020E2">
        <w:rPr>
          <w:sz w:val="24"/>
          <w:szCs w:val="24"/>
        </w:rPr>
        <w:t>Distriktsstyrelsen föreslår årskonferensen att besluta</w:t>
      </w:r>
      <w:r w:rsidR="0033602B" w:rsidRPr="00D020E2">
        <w:rPr>
          <w:sz w:val="24"/>
          <w:szCs w:val="24"/>
        </w:rPr>
        <w:t>:</w:t>
      </w:r>
    </w:p>
    <w:p w:rsidR="0033602B" w:rsidRPr="00D020E2" w:rsidRDefault="0033602B">
      <w:pPr>
        <w:rPr>
          <w:sz w:val="24"/>
          <w:szCs w:val="24"/>
        </w:rPr>
      </w:pPr>
    </w:p>
    <w:p w:rsidR="0033602B" w:rsidRPr="00D020E2" w:rsidRDefault="0033602B" w:rsidP="0033602B">
      <w:pPr>
        <w:pStyle w:val="Liststycke"/>
        <w:numPr>
          <w:ilvl w:val="0"/>
          <w:numId w:val="1"/>
        </w:numPr>
        <w:rPr>
          <w:sz w:val="24"/>
          <w:szCs w:val="24"/>
        </w:rPr>
      </w:pPr>
      <w:r w:rsidRPr="00D020E2">
        <w:rPr>
          <w:sz w:val="24"/>
          <w:szCs w:val="24"/>
        </w:rPr>
        <w:t xml:space="preserve"> Att </w:t>
      </w:r>
      <w:r w:rsidR="00C37BAA">
        <w:rPr>
          <w:sz w:val="24"/>
          <w:szCs w:val="24"/>
        </w:rPr>
        <w:t xml:space="preserve">i enlighet med föregående </w:t>
      </w:r>
      <w:proofErr w:type="spellStart"/>
      <w:r w:rsidR="00C37BAA">
        <w:rPr>
          <w:sz w:val="24"/>
          <w:szCs w:val="24"/>
        </w:rPr>
        <w:t>årskonferens</w:t>
      </w:r>
      <w:r w:rsidR="00D020E2">
        <w:rPr>
          <w:sz w:val="24"/>
          <w:szCs w:val="24"/>
        </w:rPr>
        <w:t>beslut</w:t>
      </w:r>
      <w:proofErr w:type="spellEnd"/>
      <w:r w:rsidR="00D020E2">
        <w:rPr>
          <w:sz w:val="24"/>
          <w:szCs w:val="24"/>
        </w:rPr>
        <w:t xml:space="preserve"> låta </w:t>
      </w:r>
      <w:r w:rsidRPr="00D020E2">
        <w:rPr>
          <w:sz w:val="24"/>
          <w:szCs w:val="24"/>
        </w:rPr>
        <w:t>distriktets kostnader för Ung Vänster och VSF överstigande 2</w:t>
      </w:r>
      <w:r w:rsidR="001F736E" w:rsidRPr="00D020E2">
        <w:rPr>
          <w:sz w:val="24"/>
          <w:szCs w:val="24"/>
        </w:rPr>
        <w:t>0 </w:t>
      </w:r>
      <w:proofErr w:type="gramStart"/>
      <w:r w:rsidR="001F736E" w:rsidRPr="00D020E2">
        <w:rPr>
          <w:sz w:val="24"/>
          <w:szCs w:val="24"/>
        </w:rPr>
        <w:t xml:space="preserve">000  </w:t>
      </w:r>
      <w:r w:rsidRPr="00D020E2">
        <w:rPr>
          <w:sz w:val="24"/>
          <w:szCs w:val="24"/>
        </w:rPr>
        <w:t>kronor</w:t>
      </w:r>
      <w:proofErr w:type="gramEnd"/>
      <w:r w:rsidRPr="00D020E2">
        <w:rPr>
          <w:sz w:val="24"/>
          <w:szCs w:val="24"/>
        </w:rPr>
        <w:t xml:space="preserve"> bekostas av partiföreningarna. </w:t>
      </w:r>
      <w:r w:rsidR="00CF71CE" w:rsidRPr="00D020E2">
        <w:rPr>
          <w:sz w:val="24"/>
          <w:szCs w:val="24"/>
        </w:rPr>
        <w:t xml:space="preserve">Detta beslut innebär inte att partiföreningarnas egna kongressbeslutade ansvar att skänka </w:t>
      </w:r>
      <w:proofErr w:type="gramStart"/>
      <w:r w:rsidR="00CF71CE" w:rsidRPr="00D020E2">
        <w:rPr>
          <w:sz w:val="24"/>
          <w:szCs w:val="24"/>
        </w:rPr>
        <w:t>10%</w:t>
      </w:r>
      <w:proofErr w:type="gramEnd"/>
      <w:r w:rsidR="00CF71CE" w:rsidRPr="00D020E2">
        <w:rPr>
          <w:sz w:val="24"/>
          <w:szCs w:val="24"/>
        </w:rPr>
        <w:t xml:space="preserve"> av sitt partistöd till Ung Vänster och 1 % till VSF har uppfyllts.</w:t>
      </w:r>
    </w:p>
    <w:p w:rsidR="00CF71CE" w:rsidRPr="00D020E2" w:rsidRDefault="00CF71CE" w:rsidP="00CF71CE">
      <w:pPr>
        <w:pStyle w:val="Liststycke"/>
        <w:numPr>
          <w:ilvl w:val="0"/>
          <w:numId w:val="1"/>
        </w:numPr>
        <w:rPr>
          <w:sz w:val="24"/>
          <w:szCs w:val="24"/>
        </w:rPr>
      </w:pPr>
      <w:r w:rsidRPr="00D020E2">
        <w:rPr>
          <w:sz w:val="24"/>
          <w:szCs w:val="24"/>
        </w:rPr>
        <w:t xml:space="preserve">Att distriktsstyrelsen får i uppdrag att besluta om hur </w:t>
      </w:r>
      <w:r w:rsidR="00D020E2">
        <w:rPr>
          <w:sz w:val="24"/>
          <w:szCs w:val="24"/>
        </w:rPr>
        <w:t xml:space="preserve">ovanstående kostnader </w:t>
      </w:r>
      <w:r w:rsidRPr="00D020E2">
        <w:rPr>
          <w:sz w:val="24"/>
          <w:szCs w:val="24"/>
        </w:rPr>
        <w:t>ska fördelas mellan partiföreningarna.</w:t>
      </w:r>
    </w:p>
    <w:p w:rsidR="0033602B" w:rsidRPr="00D020E2" w:rsidRDefault="00C37BAA" w:rsidP="0033602B">
      <w:pPr>
        <w:pStyle w:val="Liststycke"/>
        <w:numPr>
          <w:ilvl w:val="0"/>
          <w:numId w:val="1"/>
        </w:numPr>
        <w:rPr>
          <w:sz w:val="24"/>
          <w:szCs w:val="24"/>
        </w:rPr>
      </w:pPr>
      <w:r>
        <w:rPr>
          <w:sz w:val="24"/>
          <w:szCs w:val="24"/>
        </w:rPr>
        <w:t xml:space="preserve">Att underskottet fördelas lika mellan valfonden och </w:t>
      </w:r>
      <w:r w:rsidR="0063554F">
        <w:rPr>
          <w:sz w:val="24"/>
          <w:szCs w:val="24"/>
        </w:rPr>
        <w:t>det egna kapitalet.</w:t>
      </w:r>
    </w:p>
    <w:p w:rsidR="00D020E2" w:rsidRPr="00D020E2" w:rsidRDefault="00D020E2" w:rsidP="0033602B">
      <w:pPr>
        <w:pStyle w:val="Liststycke"/>
        <w:numPr>
          <w:ilvl w:val="0"/>
          <w:numId w:val="1"/>
        </w:numPr>
        <w:rPr>
          <w:sz w:val="24"/>
          <w:szCs w:val="24"/>
        </w:rPr>
      </w:pPr>
      <w:r w:rsidRPr="00D020E2">
        <w:rPr>
          <w:sz w:val="24"/>
          <w:szCs w:val="24"/>
        </w:rPr>
        <w:t>Att distriktsstyrelsen får i uppdrag att åter se över systemet med att ta in delar av det kommunala partistödet som partiföreningarna har i syfte att samla resurser inför valåret 2014</w:t>
      </w:r>
      <w:r w:rsidR="009D027F">
        <w:rPr>
          <w:sz w:val="24"/>
          <w:szCs w:val="24"/>
        </w:rPr>
        <w:t xml:space="preserve"> – fokus ska ligga på stöd till partiföreningarna</w:t>
      </w:r>
    </w:p>
    <w:sectPr w:rsidR="00D020E2" w:rsidRPr="00D020E2" w:rsidSect="005D08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892" w:rsidRDefault="00021892" w:rsidP="00FE3E3B">
      <w:r>
        <w:separator/>
      </w:r>
    </w:p>
  </w:endnote>
  <w:endnote w:type="continuationSeparator" w:id="0">
    <w:p w:rsidR="00021892" w:rsidRDefault="00021892" w:rsidP="00FE3E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892" w:rsidRDefault="00021892" w:rsidP="00FE3E3B">
      <w:r>
        <w:separator/>
      </w:r>
    </w:p>
  </w:footnote>
  <w:footnote w:type="continuationSeparator" w:id="0">
    <w:p w:rsidR="00021892" w:rsidRDefault="00021892" w:rsidP="00FE3E3B">
      <w:r>
        <w:continuationSeparator/>
      </w:r>
    </w:p>
  </w:footnote>
  <w:footnote w:id="1">
    <w:p w:rsidR="00FE3E3B" w:rsidRDefault="00FE3E3B">
      <w:pPr>
        <w:pStyle w:val="Fotnotstext"/>
      </w:pPr>
      <w:r>
        <w:rPr>
          <w:rStyle w:val="Fotnotsreferens"/>
        </w:rPr>
        <w:footnoteRef/>
      </w:r>
      <w:r>
        <w:t xml:space="preserve"> Kvarvarande lönekost</w:t>
      </w:r>
      <w:r w:rsidR="00CF71CE">
        <w:t xml:space="preserve">nader för pensionsavgång – motsvarande fyra månaders </w:t>
      </w:r>
      <w:r>
        <w:t>heltidslöner belastar 2013.</w:t>
      </w:r>
      <w:r w:rsidR="00CF71CE">
        <w:t xml:space="preserve"> Kostnaden försvinner helt till budgetåret 2014.</w:t>
      </w:r>
    </w:p>
  </w:footnote>
  <w:footnote w:id="2">
    <w:p w:rsidR="00FE3E3B" w:rsidRDefault="00FE3E3B">
      <w:pPr>
        <w:pStyle w:val="Fotnotstext"/>
      </w:pPr>
      <w:r>
        <w:rPr>
          <w:rStyle w:val="Fotnotsreferens"/>
        </w:rPr>
        <w:footnoteRef/>
      </w:r>
      <w:r>
        <w:t xml:space="preserve"> Nyanställning exp. Räknat på 75 % anställning i 7 månader under 2013 baserat på en heltidslön om 26 000 kronor – </w:t>
      </w:r>
      <w:r w:rsidR="00CF71CE">
        <w:t>sociala avgifter m.m. är inräknade.</w:t>
      </w:r>
    </w:p>
  </w:footnote>
  <w:footnote w:id="3">
    <w:p w:rsidR="00354CD4" w:rsidRDefault="00354CD4">
      <w:pPr>
        <w:pStyle w:val="Fotnotstext"/>
      </w:pPr>
      <w:r>
        <w:rPr>
          <w:rStyle w:val="Fotnotsreferens"/>
        </w:rPr>
        <w:footnoteRef/>
      </w:r>
      <w:r>
        <w:t xml:space="preserve"> Ung Vänster ska enligt </w:t>
      </w:r>
      <w:r w:rsidR="006362A0">
        <w:t>kongress</w:t>
      </w:r>
      <w:r>
        <w:t xml:space="preserve">beslut ha </w:t>
      </w:r>
      <w:proofErr w:type="gramStart"/>
      <w:r>
        <w:t>10  %</w:t>
      </w:r>
      <w:proofErr w:type="gramEnd"/>
    </w:p>
  </w:footnote>
  <w:footnote w:id="4">
    <w:p w:rsidR="0033602B" w:rsidRDefault="0033602B">
      <w:pPr>
        <w:pStyle w:val="Fotnotstext"/>
      </w:pPr>
      <w:r>
        <w:rPr>
          <w:rStyle w:val="Fotnotsreferens"/>
        </w:rPr>
        <w:footnoteRef/>
      </w:r>
      <w:r>
        <w:t xml:space="preserve"> </w:t>
      </w:r>
      <w:r w:rsidR="006362A0">
        <w:t>VSF enligt kongressbeslut 1 %</w:t>
      </w:r>
    </w:p>
  </w:footnote>
  <w:footnote w:id="5">
    <w:p w:rsidR="00B95939" w:rsidRDefault="00B95939">
      <w:pPr>
        <w:pStyle w:val="Fotnotstext"/>
      </w:pPr>
      <w:r>
        <w:rPr>
          <w:rStyle w:val="Fotnotsreferens"/>
        </w:rPr>
        <w:footnoteRef/>
      </w:r>
      <w:r w:rsidR="006362A0">
        <w:t xml:space="preserve"> Underskottet fördelas lika mellan tillgångar och valfond – en något utökad verksamhet inklusive en nyanställning ses som en del i upptakten inför valrörelsen 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F1C02"/>
    <w:multiLevelType w:val="hybridMultilevel"/>
    <w:tmpl w:val="F72632CC"/>
    <w:lvl w:ilvl="0" w:tplc="2E20D62C">
      <w:start w:val="51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0634905"/>
    <w:multiLevelType w:val="hybridMultilevel"/>
    <w:tmpl w:val="EC7283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1304"/>
  <w:hyphenationZone w:val="425"/>
  <w:characterSpacingControl w:val="doNotCompress"/>
  <w:footnotePr>
    <w:footnote w:id="-1"/>
    <w:footnote w:id="0"/>
  </w:footnotePr>
  <w:endnotePr>
    <w:endnote w:id="-1"/>
    <w:endnote w:id="0"/>
  </w:endnotePr>
  <w:compat/>
  <w:rsids>
    <w:rsidRoot w:val="00FE3E3B"/>
    <w:rsid w:val="00021892"/>
    <w:rsid w:val="000919C2"/>
    <w:rsid w:val="001231A9"/>
    <w:rsid w:val="001C6C7D"/>
    <w:rsid w:val="001F736E"/>
    <w:rsid w:val="0033602B"/>
    <w:rsid w:val="00354CD4"/>
    <w:rsid w:val="00501948"/>
    <w:rsid w:val="00515BAE"/>
    <w:rsid w:val="00545741"/>
    <w:rsid w:val="005D0819"/>
    <w:rsid w:val="0063554F"/>
    <w:rsid w:val="006362A0"/>
    <w:rsid w:val="006E0FED"/>
    <w:rsid w:val="00761EF8"/>
    <w:rsid w:val="0078450A"/>
    <w:rsid w:val="008644DF"/>
    <w:rsid w:val="00893E9C"/>
    <w:rsid w:val="00932943"/>
    <w:rsid w:val="009C5DD7"/>
    <w:rsid w:val="009D027F"/>
    <w:rsid w:val="00A27F0F"/>
    <w:rsid w:val="00A47C6C"/>
    <w:rsid w:val="00B95939"/>
    <w:rsid w:val="00C10648"/>
    <w:rsid w:val="00C37BAA"/>
    <w:rsid w:val="00C5342D"/>
    <w:rsid w:val="00CF71CE"/>
    <w:rsid w:val="00D020E2"/>
    <w:rsid w:val="00DC4EB8"/>
    <w:rsid w:val="00ED543B"/>
    <w:rsid w:val="00FD313D"/>
    <w:rsid w:val="00FE3E3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E3B"/>
    <w:rPr>
      <w:rFonts w:eastAsia="Times New Roman"/>
      <w:sz w:val="20"/>
      <w:szCs w:val="20"/>
      <w:lang w:eastAsia="sv-SE"/>
    </w:rPr>
  </w:style>
  <w:style w:type="paragraph" w:styleId="Rubrik1">
    <w:name w:val="heading 1"/>
    <w:basedOn w:val="Normal"/>
    <w:next w:val="Normal"/>
    <w:link w:val="Rubrik1Char"/>
    <w:qFormat/>
    <w:rsid w:val="00FE3E3B"/>
    <w:pPr>
      <w:keepNext/>
      <w:tabs>
        <w:tab w:val="right" w:pos="7230"/>
      </w:tabs>
      <w:outlineLvl w:val="0"/>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E3E3B"/>
    <w:rPr>
      <w:rFonts w:eastAsia="Times New Roman"/>
      <w:szCs w:val="20"/>
      <w:lang w:eastAsia="sv-SE"/>
    </w:rPr>
  </w:style>
  <w:style w:type="paragraph" w:styleId="Brdtext">
    <w:name w:val="Body Text"/>
    <w:basedOn w:val="Normal"/>
    <w:link w:val="BrdtextChar"/>
    <w:semiHidden/>
    <w:rsid w:val="00FE3E3B"/>
    <w:pPr>
      <w:tabs>
        <w:tab w:val="right" w:pos="7088"/>
      </w:tabs>
    </w:pPr>
    <w:rPr>
      <w:sz w:val="24"/>
    </w:rPr>
  </w:style>
  <w:style w:type="character" w:customStyle="1" w:styleId="BrdtextChar">
    <w:name w:val="Brödtext Char"/>
    <w:basedOn w:val="Standardstycketeckensnitt"/>
    <w:link w:val="Brdtext"/>
    <w:semiHidden/>
    <w:rsid w:val="00FE3E3B"/>
    <w:rPr>
      <w:rFonts w:eastAsia="Times New Roman"/>
      <w:szCs w:val="20"/>
      <w:lang w:eastAsia="sv-SE"/>
    </w:rPr>
  </w:style>
  <w:style w:type="paragraph" w:styleId="Fotnotstext">
    <w:name w:val="footnote text"/>
    <w:basedOn w:val="Normal"/>
    <w:link w:val="FotnotstextChar"/>
    <w:uiPriority w:val="99"/>
    <w:semiHidden/>
    <w:unhideWhenUsed/>
    <w:rsid w:val="00FE3E3B"/>
  </w:style>
  <w:style w:type="character" w:customStyle="1" w:styleId="FotnotstextChar">
    <w:name w:val="Fotnotstext Char"/>
    <w:basedOn w:val="Standardstycketeckensnitt"/>
    <w:link w:val="Fotnotstext"/>
    <w:uiPriority w:val="99"/>
    <w:semiHidden/>
    <w:rsid w:val="00FE3E3B"/>
    <w:rPr>
      <w:rFonts w:eastAsia="Times New Roman"/>
      <w:sz w:val="20"/>
      <w:szCs w:val="20"/>
      <w:lang w:eastAsia="sv-SE"/>
    </w:rPr>
  </w:style>
  <w:style w:type="character" w:styleId="Fotnotsreferens">
    <w:name w:val="footnote reference"/>
    <w:basedOn w:val="Standardstycketeckensnitt"/>
    <w:uiPriority w:val="99"/>
    <w:semiHidden/>
    <w:unhideWhenUsed/>
    <w:rsid w:val="00FE3E3B"/>
    <w:rPr>
      <w:vertAlign w:val="superscript"/>
    </w:rPr>
  </w:style>
  <w:style w:type="paragraph" w:styleId="Liststycke">
    <w:name w:val="List Paragraph"/>
    <w:basedOn w:val="Normal"/>
    <w:uiPriority w:val="34"/>
    <w:qFormat/>
    <w:rsid w:val="003360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6DAE7-210C-43D2-9E49-20A4512C9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Pages>
  <Words>588</Words>
  <Characters>3121</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Nyvall</dc:creator>
  <cp:lastModifiedBy>Madeleine Nyvall</cp:lastModifiedBy>
  <cp:revision>9</cp:revision>
  <dcterms:created xsi:type="dcterms:W3CDTF">2013-03-16T19:35:00Z</dcterms:created>
  <dcterms:modified xsi:type="dcterms:W3CDTF">2013-03-17T21:34:00Z</dcterms:modified>
</cp:coreProperties>
</file>